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15" w:type="dxa"/>
        <w:jc w:val="center"/>
        <w:tblCellSpacing w:w="0" w:type="dxa"/>
        <w:tblCellMar>
          <w:left w:w="0" w:type="dxa"/>
          <w:right w:w="0" w:type="dxa"/>
        </w:tblCellMar>
        <w:tblLook w:val="04A0" w:firstRow="1" w:lastRow="0" w:firstColumn="1" w:lastColumn="0" w:noHBand="0" w:noVBand="1"/>
      </w:tblPr>
      <w:tblGrid>
        <w:gridCol w:w="3225"/>
        <w:gridCol w:w="7605"/>
      </w:tblGrid>
      <w:tr w:rsidR="00C54BE7" w:rsidRPr="00C54BE7" w14:paraId="5332EA2B" w14:textId="77777777" w:rsidTr="00C54BE7">
        <w:trPr>
          <w:tblCellSpacing w:w="0" w:type="dxa"/>
          <w:jc w:val="center"/>
        </w:trPr>
        <w:tc>
          <w:tcPr>
            <w:tcW w:w="0" w:type="auto"/>
            <w:gridSpan w:val="2"/>
            <w:vAlign w:val="center"/>
            <w:hideMark/>
          </w:tcPr>
          <w:p w14:paraId="6E9E8A77" w14:textId="77777777" w:rsidR="00C54BE7" w:rsidRPr="00C54BE7" w:rsidRDefault="00C54BE7" w:rsidP="00C54BE7">
            <w:pPr>
              <w:jc w:val="center"/>
              <w:rPr>
                <w:b/>
                <w:bCs/>
              </w:rPr>
            </w:pPr>
            <w:r w:rsidRPr="00C54BE7">
              <w:rPr>
                <w:b/>
                <w:bCs/>
              </w:rPr>
              <w:fldChar w:fldCharType="begin"/>
            </w:r>
            <w:r w:rsidRPr="00C54BE7">
              <w:rPr>
                <w:b/>
                <w:bCs/>
              </w:rPr>
              <w:instrText xml:space="preserve"> HYPERLINK "http://igtcglobal.org/index.php?id=211&amp;no_cache=1" </w:instrText>
            </w:r>
            <w:r w:rsidRPr="00C54BE7">
              <w:rPr>
                <w:b/>
                <w:bCs/>
              </w:rPr>
              <w:fldChar w:fldCharType="separate"/>
            </w:r>
            <w:r w:rsidRPr="00C54BE7">
              <w:rPr>
                <w:rStyle w:val="Hyperlink"/>
              </w:rPr>
              <w:t>If you cannot read this mail, please click here</w:t>
            </w:r>
            <w:r w:rsidRPr="00C54BE7">
              <w:fldChar w:fldCharType="end"/>
            </w:r>
          </w:p>
        </w:tc>
      </w:tr>
      <w:tr w:rsidR="00C54BE7" w:rsidRPr="00C54BE7" w14:paraId="51AD4F1F" w14:textId="77777777" w:rsidTr="00C54BE7">
        <w:trPr>
          <w:tblCellSpacing w:w="0" w:type="dxa"/>
          <w:jc w:val="center"/>
        </w:trPr>
        <w:tc>
          <w:tcPr>
            <w:tcW w:w="0" w:type="auto"/>
            <w:gridSpan w:val="2"/>
            <w:vAlign w:val="center"/>
            <w:hideMark/>
          </w:tcPr>
          <w:p w14:paraId="634E6609" w14:textId="77777777" w:rsidR="00C54BE7" w:rsidRPr="00C54BE7" w:rsidRDefault="00C54BE7" w:rsidP="00C54BE7">
            <w:r w:rsidRPr="00C54BE7">
              <w:drawing>
                <wp:inline distT="0" distB="0" distL="0" distR="0" wp14:anchorId="3C96B084" wp14:editId="7BFE917D">
                  <wp:extent cx="6867525" cy="1152525"/>
                  <wp:effectExtent l="0" t="0" r="9525" b="9525"/>
                  <wp:docPr id="5" name="Picture 5" descr="http://igtcglobal.org/fileadmin/templates/images/newsletter/IGTC_newsletter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gtcglobal.org/fileadmin/templates/images/newsletter/IGTC_newsletter_0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67525" cy="1152525"/>
                          </a:xfrm>
                          <a:prstGeom prst="rect">
                            <a:avLst/>
                          </a:prstGeom>
                          <a:noFill/>
                          <a:ln>
                            <a:noFill/>
                          </a:ln>
                        </pic:spPr>
                      </pic:pic>
                    </a:graphicData>
                  </a:graphic>
                </wp:inline>
              </w:drawing>
            </w:r>
          </w:p>
        </w:tc>
      </w:tr>
      <w:tr w:rsidR="00C54BE7" w:rsidRPr="00C54BE7" w14:paraId="0D41B16A" w14:textId="77777777" w:rsidTr="00C54BE7">
        <w:trPr>
          <w:trHeight w:val="450"/>
          <w:tblCellSpacing w:w="0" w:type="dxa"/>
          <w:jc w:val="center"/>
        </w:trPr>
        <w:tc>
          <w:tcPr>
            <w:tcW w:w="0" w:type="auto"/>
            <w:gridSpan w:val="2"/>
            <w:shd w:val="clear" w:color="auto" w:fill="2071AD"/>
            <w:vAlign w:val="center"/>
            <w:hideMark/>
          </w:tcPr>
          <w:p w14:paraId="00C128AA" w14:textId="77777777" w:rsidR="00C54BE7" w:rsidRPr="00C54BE7" w:rsidRDefault="00C54BE7" w:rsidP="00C54BE7">
            <w:pPr>
              <w:rPr>
                <w:b/>
                <w:bCs/>
              </w:rPr>
            </w:pPr>
            <w:r w:rsidRPr="00C54BE7">
              <w:rPr>
                <w:b/>
                <w:bCs/>
              </w:rPr>
              <w:t>IGTC Newsletter 3 October 2017</w:t>
            </w:r>
          </w:p>
        </w:tc>
      </w:tr>
      <w:tr w:rsidR="00C54BE7" w:rsidRPr="00C54BE7" w14:paraId="2CF61810" w14:textId="77777777" w:rsidTr="00C54BE7">
        <w:trPr>
          <w:trHeight w:val="75"/>
          <w:tblCellSpacing w:w="0" w:type="dxa"/>
          <w:jc w:val="center"/>
        </w:trPr>
        <w:tc>
          <w:tcPr>
            <w:tcW w:w="0" w:type="auto"/>
            <w:gridSpan w:val="2"/>
            <w:shd w:val="clear" w:color="auto" w:fill="1D887A"/>
            <w:vAlign w:val="center"/>
            <w:hideMark/>
          </w:tcPr>
          <w:p w14:paraId="2C3FF711" w14:textId="77777777" w:rsidR="00C54BE7" w:rsidRPr="00C54BE7" w:rsidRDefault="00C54BE7" w:rsidP="00C54BE7"/>
        </w:tc>
      </w:tr>
      <w:tr w:rsidR="00C54BE7" w:rsidRPr="00C54BE7" w14:paraId="1591FF15" w14:textId="77777777" w:rsidTr="00C54BE7">
        <w:trPr>
          <w:trHeight w:val="300"/>
          <w:tblCellSpacing w:w="0" w:type="dxa"/>
          <w:jc w:val="center"/>
        </w:trPr>
        <w:tc>
          <w:tcPr>
            <w:tcW w:w="0" w:type="auto"/>
            <w:gridSpan w:val="2"/>
            <w:vAlign w:val="center"/>
            <w:hideMark/>
          </w:tcPr>
          <w:p w14:paraId="7805E794" w14:textId="77777777" w:rsidR="00C54BE7" w:rsidRPr="00C54BE7" w:rsidRDefault="00C54BE7" w:rsidP="00C54BE7"/>
        </w:tc>
      </w:tr>
      <w:tr w:rsidR="00C54BE7" w:rsidRPr="00C54BE7" w14:paraId="3C80DF82" w14:textId="77777777" w:rsidTr="00C54BE7">
        <w:trPr>
          <w:tblCellSpacing w:w="0" w:type="dxa"/>
          <w:jc w:val="center"/>
        </w:trPr>
        <w:tc>
          <w:tcPr>
            <w:tcW w:w="3225" w:type="dxa"/>
            <w:tcMar>
              <w:top w:w="0" w:type="dxa"/>
              <w:left w:w="0" w:type="dxa"/>
              <w:bottom w:w="0" w:type="dxa"/>
              <w:right w:w="150" w:type="dxa"/>
            </w:tcMar>
            <w:hideMark/>
          </w:tcPr>
          <w:p w14:paraId="1CF3907D" w14:textId="77777777" w:rsidR="00C54BE7" w:rsidRPr="00C54BE7" w:rsidRDefault="00C54BE7" w:rsidP="00C54BE7">
            <w:r w:rsidRPr="00C54BE7">
              <w:rPr>
                <w:b/>
                <w:bCs/>
              </w:rPr>
              <w:t>IGTC new address</w:t>
            </w:r>
            <w:r w:rsidRPr="00C54BE7">
              <w:t>: From 1, October 2017, all IGTC correspondence should be addressed to: International Grain Trade Coalition (IGTC), Rue de Lausanne 37, CH–1201 Geneva.</w:t>
            </w:r>
          </w:p>
          <w:p w14:paraId="46FAC64E" w14:textId="77777777" w:rsidR="00C54BE7" w:rsidRPr="00C54BE7" w:rsidRDefault="00C54BE7" w:rsidP="00C54BE7">
            <w:pPr>
              <w:rPr>
                <w:b/>
                <w:bCs/>
              </w:rPr>
            </w:pPr>
            <w:r w:rsidRPr="00C54BE7">
              <w:rPr>
                <w:b/>
                <w:bCs/>
              </w:rPr>
              <w:t>Events</w:t>
            </w:r>
          </w:p>
          <w:p w14:paraId="1D966F56" w14:textId="77777777" w:rsidR="00C54BE7" w:rsidRPr="00C54BE7" w:rsidRDefault="00C54BE7" w:rsidP="00C54BE7">
            <w:pPr>
              <w:rPr>
                <w:b/>
                <w:bCs/>
              </w:rPr>
            </w:pPr>
            <w:r w:rsidRPr="00C54BE7">
              <w:rPr>
                <w:b/>
                <w:bCs/>
              </w:rPr>
              <w:t>October 1-4: Third Global Minor Use Summit (GMUS-3) – Montreal, Canada</w:t>
            </w:r>
          </w:p>
          <w:p w14:paraId="2F39F748" w14:textId="77777777" w:rsidR="00C54BE7" w:rsidRPr="00C54BE7" w:rsidRDefault="00C54BE7" w:rsidP="00C54BE7">
            <w:r w:rsidRPr="00C54BE7">
              <w:t>Participants from over 60 countries are expected to attend the third edition of this event. More information about the 2007 and 2012 Summits can be read </w:t>
            </w:r>
            <w:hyperlink r:id="rId5" w:tgtFrame="_blank" w:history="1">
              <w:r w:rsidRPr="00C54BE7">
                <w:rPr>
                  <w:rStyle w:val="Hyperlink"/>
                </w:rPr>
                <w:t>here</w:t>
              </w:r>
            </w:hyperlink>
            <w:r w:rsidRPr="00C54BE7">
              <w:t>.</w:t>
            </w:r>
          </w:p>
          <w:p w14:paraId="5DD0521B" w14:textId="77777777" w:rsidR="00C54BE7" w:rsidRPr="00C54BE7" w:rsidRDefault="00C54BE7" w:rsidP="00C54BE7">
            <w:pPr>
              <w:rPr>
                <w:b/>
                <w:bCs/>
              </w:rPr>
            </w:pPr>
            <w:r w:rsidRPr="00C54BE7">
              <w:rPr>
                <w:b/>
                <w:bCs/>
              </w:rPr>
              <w:t xml:space="preserve">October 5-7: 7th African Grain Trade Summit (AGTS)- Dar </w:t>
            </w:r>
            <w:proofErr w:type="spellStart"/>
            <w:r w:rsidRPr="00C54BE7">
              <w:rPr>
                <w:b/>
                <w:bCs/>
              </w:rPr>
              <w:t>es</w:t>
            </w:r>
            <w:proofErr w:type="spellEnd"/>
            <w:r w:rsidRPr="00C54BE7">
              <w:rPr>
                <w:b/>
                <w:bCs/>
              </w:rPr>
              <w:t xml:space="preserve"> Salaam, Tanzania</w:t>
            </w:r>
          </w:p>
          <w:p w14:paraId="1BEAC48E" w14:textId="77777777" w:rsidR="00C54BE7" w:rsidRPr="00C54BE7" w:rsidRDefault="00C54BE7" w:rsidP="00C54BE7">
            <w:r w:rsidRPr="00C54BE7">
              <w:t>The AGTS is a biennial high-level, internationally-recognized grain industry conference that brings together state and non-state grain sector stakeholders from across the African continent and beyond. There will be a focus on the harmonization of science-based SPS measures as a key element of trade facilitation. More information </w:t>
            </w:r>
            <w:hyperlink r:id="rId6" w:tgtFrame="_blank" w:history="1">
              <w:r w:rsidRPr="00C54BE7">
                <w:rPr>
                  <w:rStyle w:val="Hyperlink"/>
                </w:rPr>
                <w:t>here</w:t>
              </w:r>
            </w:hyperlink>
            <w:r w:rsidRPr="00C54BE7">
              <w:t>.</w:t>
            </w:r>
          </w:p>
          <w:p w14:paraId="188340E6" w14:textId="77777777" w:rsidR="00C54BE7" w:rsidRPr="00C54BE7" w:rsidRDefault="00C54BE7" w:rsidP="00C54BE7">
            <w:pPr>
              <w:rPr>
                <w:b/>
                <w:bCs/>
              </w:rPr>
            </w:pPr>
            <w:r w:rsidRPr="00C54BE7">
              <w:rPr>
                <w:b/>
                <w:bCs/>
              </w:rPr>
              <w:lastRenderedPageBreak/>
              <w:t>October 9: IGTC LLP Policy Team call</w:t>
            </w:r>
          </w:p>
          <w:p w14:paraId="7E5D6BB4" w14:textId="77777777" w:rsidR="00C54BE7" w:rsidRPr="00C54BE7" w:rsidRDefault="00C54BE7" w:rsidP="00C54BE7">
            <w:r w:rsidRPr="00C54BE7">
              <w:t>Team Lead Tyler Bjornson (CGC) will guide discussions. To join the Policy Team, contact the </w:t>
            </w:r>
            <w:hyperlink r:id="rId7" w:history="1">
              <w:r w:rsidRPr="00C54BE7">
                <w:rPr>
                  <w:rStyle w:val="Hyperlink"/>
                </w:rPr>
                <w:t>Secretariat</w:t>
              </w:r>
            </w:hyperlink>
            <w:r w:rsidRPr="00C54BE7">
              <w:t>  </w:t>
            </w:r>
          </w:p>
          <w:p w14:paraId="60F9C26A" w14:textId="77777777" w:rsidR="00C54BE7" w:rsidRPr="00C54BE7" w:rsidRDefault="00C54BE7" w:rsidP="00C54BE7">
            <w:pPr>
              <w:rPr>
                <w:b/>
                <w:bCs/>
              </w:rPr>
            </w:pPr>
            <w:r w:rsidRPr="00C54BE7">
              <w:rPr>
                <w:b/>
                <w:bCs/>
              </w:rPr>
              <w:t>October 24: IGTC MRL Policy Team call</w:t>
            </w:r>
          </w:p>
          <w:p w14:paraId="68A4373E" w14:textId="77777777" w:rsidR="00C54BE7" w:rsidRPr="00C54BE7" w:rsidRDefault="00C54BE7" w:rsidP="00C54BE7">
            <w:r w:rsidRPr="00C54BE7">
              <w:t>Team Lead June Arnold (</w:t>
            </w:r>
            <w:proofErr w:type="spellStart"/>
            <w:r w:rsidRPr="00C54BE7">
              <w:t>Gafta</w:t>
            </w:r>
            <w:proofErr w:type="spellEnd"/>
            <w:r w:rsidRPr="00C54BE7">
              <w:t>) will guide discussions. To join the Policy Team, contact the </w:t>
            </w:r>
            <w:hyperlink r:id="rId8" w:history="1">
              <w:r w:rsidRPr="00C54BE7">
                <w:rPr>
                  <w:rStyle w:val="Hyperlink"/>
                </w:rPr>
                <w:t>Secretariat</w:t>
              </w:r>
            </w:hyperlink>
            <w:r w:rsidRPr="00C54BE7">
              <w:t>  </w:t>
            </w:r>
          </w:p>
          <w:p w14:paraId="7EE84473" w14:textId="77777777" w:rsidR="00C54BE7" w:rsidRPr="00C54BE7" w:rsidRDefault="00C54BE7" w:rsidP="00C54BE7">
            <w:pPr>
              <w:rPr>
                <w:b/>
                <w:bCs/>
              </w:rPr>
            </w:pPr>
            <w:r w:rsidRPr="00C54BE7">
              <w:rPr>
                <w:b/>
                <w:bCs/>
              </w:rPr>
              <w:t>November 15-16: 2017 Ordinary Meeting of the IGTC General Assembly of Members and associated activities - Washington DC and Arlington, USA</w:t>
            </w:r>
          </w:p>
          <w:p w14:paraId="2F96E471" w14:textId="77777777" w:rsidR="00C54BE7" w:rsidRPr="00C54BE7" w:rsidRDefault="00C54BE7" w:rsidP="00C54BE7">
            <w:r w:rsidRPr="00C54BE7">
              <w:t>For more information and registration </w:t>
            </w:r>
            <w:hyperlink r:id="rId9" w:tgtFrame="_blank" w:history="1">
              <w:r w:rsidRPr="00C54BE7">
                <w:rPr>
                  <w:rStyle w:val="Hyperlink"/>
                </w:rPr>
                <w:t>click here</w:t>
              </w:r>
            </w:hyperlink>
            <w:r w:rsidRPr="00C54BE7">
              <w:t>.</w:t>
            </w:r>
          </w:p>
          <w:p w14:paraId="4AC695D9" w14:textId="77777777" w:rsidR="00C54BE7" w:rsidRPr="00C54BE7" w:rsidRDefault="00C54BE7" w:rsidP="00C54BE7">
            <w:pPr>
              <w:rPr>
                <w:b/>
                <w:bCs/>
              </w:rPr>
            </w:pPr>
            <w:r w:rsidRPr="00C54BE7">
              <w:rPr>
                <w:b/>
                <w:bCs/>
              </w:rPr>
              <w:t>Links</w:t>
            </w:r>
          </w:p>
          <w:p w14:paraId="3F6F74A8" w14:textId="77777777" w:rsidR="00C54BE7" w:rsidRPr="00C54BE7" w:rsidRDefault="00C54BE7" w:rsidP="00C54BE7">
            <w:hyperlink r:id="rId10" w:tgtFrame="_blank" w:tooltip="Opens external link in new window" w:history="1">
              <w:r w:rsidRPr="00C54BE7">
                <w:rPr>
                  <w:rStyle w:val="Hyperlink"/>
                </w:rPr>
                <w:t>IGTC Website</w:t>
              </w:r>
            </w:hyperlink>
          </w:p>
          <w:p w14:paraId="31DB2E2B" w14:textId="77777777" w:rsidR="00C54BE7" w:rsidRPr="00C54BE7" w:rsidRDefault="00C54BE7" w:rsidP="00C54BE7">
            <w:hyperlink r:id="rId11" w:tgtFrame="_blank" w:tooltip="Opens external link in new window" w:history="1">
              <w:r w:rsidRPr="00C54BE7">
                <w:rPr>
                  <w:rStyle w:val="Hyperlink"/>
                </w:rPr>
                <w:t>IGTC list of members</w:t>
              </w:r>
            </w:hyperlink>
          </w:p>
          <w:p w14:paraId="4086F8FE" w14:textId="77777777" w:rsidR="00C54BE7" w:rsidRPr="00C54BE7" w:rsidRDefault="00C54BE7" w:rsidP="00C54BE7">
            <w:r w:rsidRPr="00C54BE7">
              <w:drawing>
                <wp:inline distT="0" distB="0" distL="0" distR="0" wp14:anchorId="70206AEF" wp14:editId="26B33CDA">
                  <wp:extent cx="1905000" cy="381000"/>
                  <wp:effectExtent l="0" t="0" r="0" b="0"/>
                  <wp:docPr id="4" name="Picture 4" descr="http://igtcglobal.org/fileadmin/user_upload/Twitter_button_For_Newsletter.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gtcglobal.org/fileadmin/user_upload/Twitter_button_For_Newsletter.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381000"/>
                          </a:xfrm>
                          <a:prstGeom prst="rect">
                            <a:avLst/>
                          </a:prstGeom>
                          <a:noFill/>
                          <a:ln>
                            <a:noFill/>
                          </a:ln>
                        </pic:spPr>
                      </pic:pic>
                    </a:graphicData>
                  </a:graphic>
                </wp:inline>
              </w:drawing>
            </w:r>
          </w:p>
          <w:tbl>
            <w:tblPr>
              <w:tblW w:w="0" w:type="auto"/>
              <w:tblCellSpacing w:w="75" w:type="dxa"/>
              <w:tblCellMar>
                <w:left w:w="0" w:type="dxa"/>
                <w:right w:w="0" w:type="dxa"/>
              </w:tblCellMar>
              <w:tblLook w:val="04A0" w:firstRow="1" w:lastRow="0" w:firstColumn="1" w:lastColumn="0" w:noHBand="0" w:noVBand="1"/>
            </w:tblPr>
            <w:tblGrid>
              <w:gridCol w:w="306"/>
            </w:tblGrid>
            <w:tr w:rsidR="00C54BE7" w:rsidRPr="00C54BE7" w14:paraId="63DE12E0" w14:textId="77777777">
              <w:trPr>
                <w:tblCellSpacing w:w="75" w:type="dxa"/>
              </w:trPr>
              <w:tc>
                <w:tcPr>
                  <w:tcW w:w="0" w:type="auto"/>
                  <w:vAlign w:val="center"/>
                  <w:hideMark/>
                </w:tcPr>
                <w:p w14:paraId="150B0C28" w14:textId="77777777" w:rsidR="00C54BE7" w:rsidRPr="00C54BE7" w:rsidRDefault="00C54BE7" w:rsidP="00C54BE7"/>
              </w:tc>
            </w:tr>
          </w:tbl>
          <w:p w14:paraId="59870BFE" w14:textId="77777777" w:rsidR="00C54BE7" w:rsidRPr="00C54BE7" w:rsidRDefault="00C54BE7" w:rsidP="00C54BE7"/>
        </w:tc>
        <w:tc>
          <w:tcPr>
            <w:tcW w:w="0" w:type="auto"/>
            <w:tcBorders>
              <w:left w:val="single" w:sz="6" w:space="0" w:color="EFEFEF"/>
            </w:tcBorders>
            <w:hideMark/>
          </w:tcPr>
          <w:p w14:paraId="2CE3E957" w14:textId="77777777" w:rsidR="00C54BE7" w:rsidRPr="00C54BE7" w:rsidRDefault="00C54BE7" w:rsidP="00C54BE7">
            <w:pPr>
              <w:rPr>
                <w:b/>
                <w:bCs/>
              </w:rPr>
            </w:pPr>
            <w:r w:rsidRPr="00C54BE7">
              <w:rPr>
                <w:b/>
                <w:bCs/>
              </w:rPr>
              <w:lastRenderedPageBreak/>
              <w:t>IGTC in Action</w:t>
            </w:r>
          </w:p>
          <w:tbl>
            <w:tblPr>
              <w:tblW w:w="0" w:type="auto"/>
              <w:tblCellSpacing w:w="75" w:type="dxa"/>
              <w:tblCellMar>
                <w:left w:w="0" w:type="dxa"/>
                <w:right w:w="0" w:type="dxa"/>
              </w:tblCellMar>
              <w:tblLook w:val="04A0" w:firstRow="1" w:lastRow="0" w:firstColumn="1" w:lastColumn="0" w:noHBand="0" w:noVBand="1"/>
            </w:tblPr>
            <w:tblGrid>
              <w:gridCol w:w="7590"/>
            </w:tblGrid>
            <w:tr w:rsidR="00C54BE7" w:rsidRPr="00C54BE7" w14:paraId="4023A152" w14:textId="77777777">
              <w:trPr>
                <w:tblCellSpacing w:w="75" w:type="dxa"/>
              </w:trPr>
              <w:tc>
                <w:tcPr>
                  <w:tcW w:w="0" w:type="auto"/>
                  <w:tcBorders>
                    <w:bottom w:val="single" w:sz="6" w:space="0" w:color="EFEFEF"/>
                  </w:tcBorders>
                  <w:tcMar>
                    <w:top w:w="0" w:type="dxa"/>
                    <w:left w:w="150" w:type="dxa"/>
                    <w:bottom w:w="150" w:type="dxa"/>
                    <w:right w:w="0" w:type="dxa"/>
                  </w:tcMar>
                  <w:hideMark/>
                </w:tcPr>
                <w:p w14:paraId="3E7B6ED2" w14:textId="77777777" w:rsidR="00C54BE7" w:rsidRPr="00C54BE7" w:rsidRDefault="00C54BE7" w:rsidP="00C54BE7">
                  <w:pPr>
                    <w:rPr>
                      <w:b/>
                      <w:bCs/>
                    </w:rPr>
                  </w:pPr>
                  <w:r w:rsidRPr="00C54BE7">
                    <w:rPr>
                      <w:b/>
                      <w:bCs/>
                    </w:rPr>
                    <w:t>EU Commission High-Level conference on modern biotechnologies</w:t>
                  </w:r>
                </w:p>
                <w:tbl>
                  <w:tblPr>
                    <w:tblpPr w:leftFromText="45" w:rightFromText="45" w:vertAnchor="text"/>
                    <w:tblW w:w="0" w:type="auto"/>
                    <w:tblCellMar>
                      <w:left w:w="0" w:type="dxa"/>
                      <w:right w:w="0" w:type="dxa"/>
                    </w:tblCellMar>
                    <w:tblLook w:val="04A0" w:firstRow="1" w:lastRow="0" w:firstColumn="1" w:lastColumn="0" w:noHBand="0" w:noVBand="1"/>
                  </w:tblPr>
                  <w:tblGrid>
                    <w:gridCol w:w="1890"/>
                    <w:gridCol w:w="225"/>
                  </w:tblGrid>
                  <w:tr w:rsidR="00C54BE7" w:rsidRPr="00C54BE7" w14:paraId="7732D07A" w14:textId="77777777">
                    <w:tc>
                      <w:tcPr>
                        <w:tcW w:w="0" w:type="auto"/>
                        <w:vAlign w:val="center"/>
                        <w:hideMark/>
                      </w:tcPr>
                      <w:p w14:paraId="20573B51" w14:textId="77777777" w:rsidR="00C54BE7" w:rsidRPr="00C54BE7" w:rsidRDefault="00C54BE7" w:rsidP="00C54BE7">
                        <w:r w:rsidRPr="00C54BE7">
                          <w:drawing>
                            <wp:inline distT="0" distB="0" distL="0" distR="0" wp14:anchorId="45322B92" wp14:editId="30BE589B">
                              <wp:extent cx="1190625" cy="676275"/>
                              <wp:effectExtent l="0" t="0" r="9525" b="9525"/>
                              <wp:docPr id="3" name="Picture 3" descr="http://igtcglobal.org/typo3temp/_processed_/csm_Teresa_Babuscio_da0deef3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gtcglobal.org/typo3temp/_processed_/csm_Teresa_Babuscio_da0deef36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0625" cy="676275"/>
                                      </a:xfrm>
                                      <a:prstGeom prst="rect">
                                        <a:avLst/>
                                      </a:prstGeom>
                                      <a:noFill/>
                                      <a:ln>
                                        <a:noFill/>
                                      </a:ln>
                                    </pic:spPr>
                                  </pic:pic>
                                </a:graphicData>
                              </a:graphic>
                            </wp:inline>
                          </w:drawing>
                        </w:r>
                      </w:p>
                    </w:tc>
                    <w:tc>
                      <w:tcPr>
                        <w:tcW w:w="225" w:type="dxa"/>
                        <w:vAlign w:val="center"/>
                        <w:hideMark/>
                      </w:tcPr>
                      <w:p w14:paraId="4D8B61C6" w14:textId="77777777" w:rsidR="00C54BE7" w:rsidRPr="00C54BE7" w:rsidRDefault="00C54BE7" w:rsidP="00C54BE7"/>
                    </w:tc>
                  </w:tr>
                  <w:tr w:rsidR="00C54BE7" w:rsidRPr="00C54BE7" w14:paraId="7244267F" w14:textId="77777777">
                    <w:trPr>
                      <w:trHeight w:val="75"/>
                    </w:trPr>
                    <w:tc>
                      <w:tcPr>
                        <w:tcW w:w="0" w:type="auto"/>
                        <w:vAlign w:val="center"/>
                        <w:hideMark/>
                      </w:tcPr>
                      <w:p w14:paraId="7374D992" w14:textId="77777777" w:rsidR="00C54BE7" w:rsidRPr="00C54BE7" w:rsidRDefault="00C54BE7" w:rsidP="00C54BE7"/>
                    </w:tc>
                    <w:tc>
                      <w:tcPr>
                        <w:tcW w:w="225" w:type="dxa"/>
                        <w:vAlign w:val="center"/>
                        <w:hideMark/>
                      </w:tcPr>
                      <w:p w14:paraId="64CB9C9D" w14:textId="77777777" w:rsidR="00C54BE7" w:rsidRPr="00C54BE7" w:rsidRDefault="00C54BE7" w:rsidP="00C54BE7"/>
                    </w:tc>
                  </w:tr>
                </w:tbl>
                <w:p w14:paraId="3B85D2D1" w14:textId="77777777" w:rsidR="00C54BE7" w:rsidRPr="00C54BE7" w:rsidRDefault="00C54BE7" w:rsidP="00C54BE7">
                  <w:r w:rsidRPr="00C54BE7">
                    <w:t xml:space="preserve">Dr. Teresa </w:t>
                  </w:r>
                  <w:proofErr w:type="spellStart"/>
                  <w:r w:rsidRPr="00C54BE7">
                    <w:t>Babuscio</w:t>
                  </w:r>
                  <w:proofErr w:type="spellEnd"/>
                  <w:r w:rsidRPr="00C54BE7">
                    <w:t xml:space="preserve">, IGTC Vice President and Secretary General of COCERAL, spoke on the panel alongside MEPs, EU Commission officials, NGOs and other industry representatives at the day-long event on Thursday, September 28. The meeting was </w:t>
                  </w:r>
                  <w:proofErr w:type="spellStart"/>
                  <w:r w:rsidRPr="00C54BE7">
                    <w:t>organised</w:t>
                  </w:r>
                  <w:proofErr w:type="spellEnd"/>
                  <w:r w:rsidRPr="00C54BE7">
                    <w:t xml:space="preserve"> by the EU Commission following the publication of an explanatory note on “New techniques in Agricultural Biotechnology” by its Scientific Advice Mechanism (SAM) in February 2017 (</w:t>
                  </w:r>
                  <w:hyperlink r:id="rId15" w:anchor="view=fit&amp;pagemode=none" w:tgtFrame="_blank" w:history="1">
                    <w:r w:rsidRPr="00C54BE7">
                      <w:rPr>
                        <w:rStyle w:val="Hyperlink"/>
                      </w:rPr>
                      <w:t>here</w:t>
                    </w:r>
                  </w:hyperlink>
                  <w:r w:rsidRPr="00C54BE7">
                    <w:t>).</w:t>
                  </w:r>
                </w:p>
                <w:p w14:paraId="17F57F5C" w14:textId="77777777" w:rsidR="00C54BE7" w:rsidRPr="00C54BE7" w:rsidRDefault="00C54BE7" w:rsidP="00C54BE7">
                  <w:r w:rsidRPr="00C54BE7">
                    <w:t xml:space="preserve">In her speech, Dr. </w:t>
                  </w:r>
                  <w:proofErr w:type="spellStart"/>
                  <w:r w:rsidRPr="00C54BE7">
                    <w:t>Babuscio</w:t>
                  </w:r>
                  <w:proofErr w:type="spellEnd"/>
                  <w:r w:rsidRPr="00C54BE7">
                    <w:t xml:space="preserve"> outlined the important role of the international trade in providing knowledge and expertise to support sound, science-based decision making. Importa</w:t>
                  </w:r>
                  <w:bookmarkStart w:id="0" w:name="_GoBack"/>
                  <w:bookmarkEnd w:id="0"/>
                  <w:r w:rsidRPr="00C54BE7">
                    <w:t xml:space="preserve">ntly, Dr. </w:t>
                  </w:r>
                  <w:proofErr w:type="spellStart"/>
                  <w:r w:rsidRPr="00C54BE7">
                    <w:t>Babuscio</w:t>
                  </w:r>
                  <w:proofErr w:type="spellEnd"/>
                  <w:r w:rsidRPr="00C54BE7">
                    <w:t xml:space="preserve"> also reminded the audience that the EU is operating in a global market and that policies are needed to avoid trade disruptions as traders work to efficiently move product to where it needs to be, in accordance with consumer demands. The full COCERAL statement can be read </w:t>
                  </w:r>
                  <w:hyperlink r:id="rId16" w:tgtFrame="_blank" w:history="1">
                    <w:r w:rsidRPr="00C54BE7">
                      <w:rPr>
                        <w:rStyle w:val="Hyperlink"/>
                      </w:rPr>
                      <w:t>here</w:t>
                    </w:r>
                  </w:hyperlink>
                  <w:r w:rsidRPr="00C54BE7">
                    <w:t>. More about the conference </w:t>
                  </w:r>
                  <w:hyperlink r:id="rId17" w:tgtFrame="_blank" w:history="1">
                    <w:r w:rsidRPr="00C54BE7">
                      <w:rPr>
                        <w:rStyle w:val="Hyperlink"/>
                      </w:rPr>
                      <w:t>here</w:t>
                    </w:r>
                  </w:hyperlink>
                </w:p>
              </w:tc>
            </w:tr>
            <w:tr w:rsidR="00C54BE7" w:rsidRPr="00C54BE7" w14:paraId="198C67FF" w14:textId="77777777">
              <w:trPr>
                <w:tblCellSpacing w:w="75" w:type="dxa"/>
              </w:trPr>
              <w:tc>
                <w:tcPr>
                  <w:tcW w:w="0" w:type="auto"/>
                  <w:tcBorders>
                    <w:bottom w:val="single" w:sz="6" w:space="0" w:color="EFEFEF"/>
                  </w:tcBorders>
                  <w:tcMar>
                    <w:top w:w="0" w:type="dxa"/>
                    <w:left w:w="150" w:type="dxa"/>
                    <w:bottom w:w="150" w:type="dxa"/>
                    <w:right w:w="0" w:type="dxa"/>
                  </w:tcMar>
                  <w:hideMark/>
                </w:tcPr>
                <w:p w14:paraId="31F0A9C5" w14:textId="77777777" w:rsidR="00C54BE7" w:rsidRPr="00C54BE7" w:rsidRDefault="00C54BE7" w:rsidP="00C54BE7">
                  <w:pPr>
                    <w:rPr>
                      <w:b/>
                      <w:bCs/>
                    </w:rPr>
                  </w:pPr>
                  <w:r w:rsidRPr="00C54BE7">
                    <w:rPr>
                      <w:b/>
                      <w:bCs/>
                    </w:rPr>
                    <w:t>Global Low-Level Presence Initiative (GLI) moving forward</w:t>
                  </w:r>
                </w:p>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25"/>
                    <w:gridCol w:w="1890"/>
                  </w:tblGrid>
                  <w:tr w:rsidR="00C54BE7" w:rsidRPr="00C54BE7" w14:paraId="506F5F8E" w14:textId="77777777">
                    <w:tc>
                      <w:tcPr>
                        <w:tcW w:w="225" w:type="dxa"/>
                        <w:vAlign w:val="center"/>
                        <w:hideMark/>
                      </w:tcPr>
                      <w:p w14:paraId="78ADC261" w14:textId="77777777" w:rsidR="00C54BE7" w:rsidRPr="00C54BE7" w:rsidRDefault="00C54BE7" w:rsidP="00C54BE7"/>
                    </w:tc>
                    <w:tc>
                      <w:tcPr>
                        <w:tcW w:w="0" w:type="auto"/>
                        <w:vAlign w:val="center"/>
                        <w:hideMark/>
                      </w:tcPr>
                      <w:p w14:paraId="3D06FEF2" w14:textId="77777777" w:rsidR="00C54BE7" w:rsidRPr="00C54BE7" w:rsidRDefault="00C54BE7" w:rsidP="00C54BE7">
                        <w:r w:rsidRPr="00C54BE7">
                          <w:drawing>
                            <wp:inline distT="0" distB="0" distL="0" distR="0" wp14:anchorId="115A009D" wp14:editId="44D63365">
                              <wp:extent cx="1190625" cy="800100"/>
                              <wp:effectExtent l="0" t="0" r="9525" b="0"/>
                              <wp:docPr id="2" name="Picture 2" descr="http://igtcglobal.org/typo3temp/_processed_/csm_EuroSilo_013_06_158f4c88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gtcglobal.org/typo3temp/_processed_/csm_EuroSilo_013_06_158f4c880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a:ln>
                                        <a:noFill/>
                                      </a:ln>
                                    </pic:spPr>
                                  </pic:pic>
                                </a:graphicData>
                              </a:graphic>
                            </wp:inline>
                          </w:drawing>
                        </w:r>
                      </w:p>
                    </w:tc>
                  </w:tr>
                  <w:tr w:rsidR="00C54BE7" w:rsidRPr="00C54BE7" w14:paraId="79AA6B03" w14:textId="77777777">
                    <w:trPr>
                      <w:trHeight w:val="75"/>
                    </w:trPr>
                    <w:tc>
                      <w:tcPr>
                        <w:tcW w:w="0" w:type="auto"/>
                        <w:vAlign w:val="center"/>
                        <w:hideMark/>
                      </w:tcPr>
                      <w:p w14:paraId="5BB1BC07" w14:textId="77777777" w:rsidR="00C54BE7" w:rsidRPr="00C54BE7" w:rsidRDefault="00C54BE7" w:rsidP="00C54BE7"/>
                    </w:tc>
                    <w:tc>
                      <w:tcPr>
                        <w:tcW w:w="225" w:type="dxa"/>
                        <w:vAlign w:val="center"/>
                        <w:hideMark/>
                      </w:tcPr>
                      <w:p w14:paraId="4C873288" w14:textId="77777777" w:rsidR="00C54BE7" w:rsidRPr="00C54BE7" w:rsidRDefault="00C54BE7" w:rsidP="00C54BE7"/>
                    </w:tc>
                  </w:tr>
                </w:tbl>
                <w:p w14:paraId="19D8499A" w14:textId="77777777" w:rsidR="00C54BE7" w:rsidRPr="00C54BE7" w:rsidRDefault="00C54BE7" w:rsidP="00C54BE7">
                  <w:r w:rsidRPr="00C54BE7">
                    <w:t xml:space="preserve">The 15 government members of the GLI have endorsed a statement on “practical approaches” to LLP in the supply chain, following the acceptance “ad-ref” of the statement at the June 2017 GLI meeting in Rome. The title of the statement is “Principles, Criteria and Practical Approaches for Addressing Low Level Presence in Food and Feed Trade of Plant Material” and contains possible approaches by governments and industry as practical means to address LLP occurrences before they occur. A renewed work plan is now being agreed among GLI member governments, with a focus on communication, risk </w:t>
                  </w:r>
                  <w:r w:rsidRPr="00C54BE7">
                    <w:lastRenderedPageBreak/>
                    <w:t>assessments, compliance measures as well as a review of legislative and regulatory frameworks to assess compatibility with the measures suggested in the statement on practical approaches. The next GLI meeting is tentatively scheduled for Q2, 2018, with Colombia indicating an interest to host. </w:t>
                  </w:r>
                </w:p>
              </w:tc>
            </w:tr>
            <w:tr w:rsidR="00C54BE7" w:rsidRPr="00C54BE7" w14:paraId="74F56998" w14:textId="77777777">
              <w:trPr>
                <w:tblCellSpacing w:w="75" w:type="dxa"/>
              </w:trPr>
              <w:tc>
                <w:tcPr>
                  <w:tcW w:w="0" w:type="auto"/>
                  <w:tcBorders>
                    <w:bottom w:val="single" w:sz="6" w:space="0" w:color="EFEFEF"/>
                  </w:tcBorders>
                  <w:tcMar>
                    <w:top w:w="0" w:type="dxa"/>
                    <w:left w:w="150" w:type="dxa"/>
                    <w:bottom w:w="150" w:type="dxa"/>
                    <w:right w:w="0" w:type="dxa"/>
                  </w:tcMar>
                  <w:hideMark/>
                </w:tcPr>
                <w:p w14:paraId="3A7E6D51" w14:textId="77777777" w:rsidR="00C54BE7" w:rsidRPr="00C54BE7" w:rsidRDefault="00C54BE7" w:rsidP="00C54BE7">
                  <w:pPr>
                    <w:rPr>
                      <w:b/>
                      <w:bCs/>
                    </w:rPr>
                  </w:pPr>
                  <w:r w:rsidRPr="00C54BE7">
                    <w:rPr>
                      <w:b/>
                      <w:bCs/>
                    </w:rPr>
                    <w:lastRenderedPageBreak/>
                    <w:t xml:space="preserve">Last chance to respond! IPPC questionnaire on global </w:t>
                  </w:r>
                  <w:proofErr w:type="spellStart"/>
                  <w:r w:rsidRPr="00C54BE7">
                    <w:rPr>
                      <w:b/>
                      <w:bCs/>
                    </w:rPr>
                    <w:t>ePhyto</w:t>
                  </w:r>
                  <w:proofErr w:type="spellEnd"/>
                  <w:r w:rsidRPr="00C54BE7">
                    <w:rPr>
                      <w:b/>
                      <w:bCs/>
                    </w:rPr>
                    <w:t xml:space="preserve"> solution</w:t>
                  </w:r>
                </w:p>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25"/>
                    <w:gridCol w:w="1890"/>
                  </w:tblGrid>
                  <w:tr w:rsidR="00C54BE7" w:rsidRPr="00C54BE7" w14:paraId="5953BEA9" w14:textId="77777777">
                    <w:tc>
                      <w:tcPr>
                        <w:tcW w:w="225" w:type="dxa"/>
                        <w:vAlign w:val="center"/>
                        <w:hideMark/>
                      </w:tcPr>
                      <w:p w14:paraId="1F348170" w14:textId="77777777" w:rsidR="00C54BE7" w:rsidRPr="00C54BE7" w:rsidRDefault="00C54BE7" w:rsidP="00C54BE7"/>
                    </w:tc>
                    <w:tc>
                      <w:tcPr>
                        <w:tcW w:w="0" w:type="auto"/>
                        <w:vAlign w:val="center"/>
                        <w:hideMark/>
                      </w:tcPr>
                      <w:p w14:paraId="3C566454" w14:textId="77777777" w:rsidR="00C54BE7" w:rsidRPr="00C54BE7" w:rsidRDefault="00C54BE7" w:rsidP="00C54BE7">
                        <w:r w:rsidRPr="00C54BE7">
                          <w:drawing>
                            <wp:inline distT="0" distB="0" distL="0" distR="0" wp14:anchorId="687E718C" wp14:editId="55D6E91E">
                              <wp:extent cx="1190625" cy="714375"/>
                              <wp:effectExtent l="0" t="0" r="9525" b="9525"/>
                              <wp:docPr id="1" name="Picture 1" descr="http://igtcglobal.org/typo3temp/_processed_/csm_ippc_logo_01_0bc49271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gtcglobal.org/typo3temp/_processed_/csm_ippc_logo_01_0bc492718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0625" cy="714375"/>
                                      </a:xfrm>
                                      <a:prstGeom prst="rect">
                                        <a:avLst/>
                                      </a:prstGeom>
                                      <a:noFill/>
                                      <a:ln>
                                        <a:noFill/>
                                      </a:ln>
                                    </pic:spPr>
                                  </pic:pic>
                                </a:graphicData>
                              </a:graphic>
                            </wp:inline>
                          </w:drawing>
                        </w:r>
                      </w:p>
                    </w:tc>
                  </w:tr>
                  <w:tr w:rsidR="00C54BE7" w:rsidRPr="00C54BE7" w14:paraId="26905A0B" w14:textId="77777777">
                    <w:trPr>
                      <w:trHeight w:val="75"/>
                    </w:trPr>
                    <w:tc>
                      <w:tcPr>
                        <w:tcW w:w="0" w:type="auto"/>
                        <w:vAlign w:val="center"/>
                        <w:hideMark/>
                      </w:tcPr>
                      <w:p w14:paraId="7CC6328E" w14:textId="77777777" w:rsidR="00C54BE7" w:rsidRPr="00C54BE7" w:rsidRDefault="00C54BE7" w:rsidP="00C54BE7"/>
                    </w:tc>
                    <w:tc>
                      <w:tcPr>
                        <w:tcW w:w="225" w:type="dxa"/>
                        <w:vAlign w:val="center"/>
                        <w:hideMark/>
                      </w:tcPr>
                      <w:p w14:paraId="5A8E77A2" w14:textId="77777777" w:rsidR="00C54BE7" w:rsidRPr="00C54BE7" w:rsidRDefault="00C54BE7" w:rsidP="00C54BE7"/>
                    </w:tc>
                  </w:tr>
                </w:tbl>
                <w:p w14:paraId="0ADB29D2" w14:textId="77777777" w:rsidR="00C54BE7" w:rsidRPr="00C54BE7" w:rsidRDefault="00C54BE7" w:rsidP="00C54BE7">
                  <w:r w:rsidRPr="00C54BE7">
                    <w:t xml:space="preserve">IGTC participants from around the world have already provided responses to the IPPC’s questionnaire on </w:t>
                  </w:r>
                  <w:proofErr w:type="spellStart"/>
                  <w:r w:rsidRPr="00C54BE7">
                    <w:t>ePhytos</w:t>
                  </w:r>
                  <w:proofErr w:type="spellEnd"/>
                  <w:r w:rsidRPr="00C54BE7">
                    <w:t xml:space="preserve"> and there is still time for others to do so! All responses to the questionnaire will be treated confidentially. If you wish to take part please contact the IGTC Secretariat: </w:t>
                  </w:r>
                  <w:hyperlink r:id="rId20" w:history="1">
                    <w:r w:rsidRPr="00C54BE7">
                      <w:rPr>
                        <w:rStyle w:val="Hyperlink"/>
                      </w:rPr>
                      <w:t>secretriat@igtcglobal.org</w:t>
                    </w:r>
                  </w:hyperlink>
                  <w:r w:rsidRPr="00C54BE7">
                    <w:t>. Submissions must be received in the next few days.</w:t>
                  </w:r>
                </w:p>
                <w:p w14:paraId="14E01E41" w14:textId="77777777" w:rsidR="00C54BE7" w:rsidRPr="00C54BE7" w:rsidRDefault="00C54BE7" w:rsidP="00C54BE7">
                  <w:r w:rsidRPr="00C54BE7">
                    <w:t xml:space="preserve">Regarding the timeline of the project, last week the IGTC received news from the IPPC that 9 countries will be ready to test the </w:t>
                  </w:r>
                  <w:proofErr w:type="spellStart"/>
                  <w:r w:rsidRPr="00C54BE7">
                    <w:t>ePhyto</w:t>
                  </w:r>
                  <w:proofErr w:type="spellEnd"/>
                  <w:r w:rsidRPr="00C54BE7">
                    <w:t xml:space="preserve"> Hub this Friday, October 6th. For full details about the Hub visit the website </w:t>
                  </w:r>
                  <w:hyperlink r:id="rId21" w:tgtFrame="_blank" w:history="1">
                    <w:r w:rsidRPr="00C54BE7">
                      <w:rPr>
                        <w:rStyle w:val="Hyperlink"/>
                      </w:rPr>
                      <w:t>here</w:t>
                    </w:r>
                  </w:hyperlink>
                  <w:r w:rsidRPr="00C54BE7">
                    <w:t>. </w:t>
                  </w:r>
                </w:p>
              </w:tc>
            </w:tr>
            <w:tr w:rsidR="00C54BE7" w:rsidRPr="00C54BE7" w14:paraId="1EDB1401" w14:textId="77777777">
              <w:trPr>
                <w:tblCellSpacing w:w="75" w:type="dxa"/>
              </w:trPr>
              <w:tc>
                <w:tcPr>
                  <w:tcW w:w="0" w:type="auto"/>
                  <w:tcBorders>
                    <w:bottom w:val="single" w:sz="6" w:space="0" w:color="EFEFEF"/>
                  </w:tcBorders>
                  <w:tcMar>
                    <w:top w:w="0" w:type="dxa"/>
                    <w:left w:w="150" w:type="dxa"/>
                    <w:bottom w:w="150" w:type="dxa"/>
                    <w:right w:w="0" w:type="dxa"/>
                  </w:tcMar>
                  <w:hideMark/>
                </w:tcPr>
                <w:p w14:paraId="05E0DF16" w14:textId="77777777" w:rsidR="00C54BE7" w:rsidRPr="00C54BE7" w:rsidRDefault="00C54BE7" w:rsidP="00C54BE7">
                  <w:r w:rsidRPr="00C54BE7">
                    <w:rPr>
                      <w:i/>
                      <w:iCs/>
                    </w:rPr>
                    <w:t>The accuracy of the information reported and interpreted in this communication is not guaranteed. All contents are subject to correction and revision. This newsletter and referenced links are for the use of IGTC Members and Stakeholders only and should otherwise be treated as confidential.</w:t>
                  </w:r>
                </w:p>
              </w:tc>
            </w:tr>
          </w:tbl>
          <w:p w14:paraId="559B2901" w14:textId="77777777" w:rsidR="00C54BE7" w:rsidRPr="00C54BE7" w:rsidRDefault="00C54BE7" w:rsidP="00C54BE7"/>
        </w:tc>
      </w:tr>
      <w:tr w:rsidR="00C54BE7" w:rsidRPr="00C54BE7" w14:paraId="16F68635" w14:textId="77777777" w:rsidTr="00C54BE7">
        <w:trPr>
          <w:tblCellSpacing w:w="0" w:type="dxa"/>
          <w:jc w:val="center"/>
        </w:trPr>
        <w:tc>
          <w:tcPr>
            <w:tcW w:w="0" w:type="auto"/>
            <w:vAlign w:val="center"/>
            <w:hideMark/>
          </w:tcPr>
          <w:p w14:paraId="370B5764" w14:textId="77777777" w:rsidR="00C54BE7" w:rsidRPr="00C54BE7" w:rsidRDefault="00C54BE7" w:rsidP="00C54BE7"/>
        </w:tc>
        <w:tc>
          <w:tcPr>
            <w:tcW w:w="0" w:type="auto"/>
            <w:vAlign w:val="center"/>
            <w:hideMark/>
          </w:tcPr>
          <w:p w14:paraId="49247703" w14:textId="77777777" w:rsidR="00C54BE7" w:rsidRPr="00C54BE7" w:rsidRDefault="00C54BE7" w:rsidP="00C54BE7"/>
        </w:tc>
      </w:tr>
      <w:tr w:rsidR="00C54BE7" w:rsidRPr="00C54BE7" w14:paraId="07FE7942" w14:textId="77777777" w:rsidTr="00C54BE7">
        <w:trPr>
          <w:trHeight w:val="750"/>
          <w:tblCellSpacing w:w="0" w:type="dxa"/>
          <w:jc w:val="center"/>
        </w:trPr>
        <w:tc>
          <w:tcPr>
            <w:tcW w:w="0" w:type="auto"/>
            <w:gridSpan w:val="2"/>
            <w:vAlign w:val="center"/>
            <w:hideMark/>
          </w:tcPr>
          <w:p w14:paraId="0A876A1C" w14:textId="77777777" w:rsidR="00C54BE7" w:rsidRPr="00C54BE7" w:rsidRDefault="00C54BE7" w:rsidP="00C54BE7">
            <w:pPr>
              <w:rPr>
                <w:b/>
                <w:bCs/>
              </w:rPr>
            </w:pPr>
            <w:r w:rsidRPr="00C54BE7">
              <w:rPr>
                <w:b/>
                <w:bCs/>
              </w:rPr>
              <w:t>Copyright IGTC 2017</w:t>
            </w:r>
          </w:p>
        </w:tc>
      </w:tr>
    </w:tbl>
    <w:p w14:paraId="487E9E96" w14:textId="77777777" w:rsidR="001818F5" w:rsidRDefault="001818F5"/>
    <w:sectPr w:rsidR="00181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BE7"/>
    <w:rsid w:val="001818F5"/>
    <w:rsid w:val="00C54BE7"/>
    <w:rsid w:val="00C90D1C"/>
    <w:rsid w:val="00CD7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1EB1D"/>
  <w15:chartTrackingRefBased/>
  <w15:docId w15:val="{D4A7F4A7-BEBB-4280-B1EF-97E53078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EGAHeading1">
    <w:name w:val="NAEGA Heading 1"/>
    <w:basedOn w:val="NoSpacing"/>
    <w:link w:val="NAEGAHeading1Char"/>
    <w:qFormat/>
    <w:rsid w:val="00CD7342"/>
    <w:pPr>
      <w:jc w:val="center"/>
    </w:pPr>
    <w:rPr>
      <w:rFonts w:ascii="Calisto MT" w:hAnsi="Calisto MT"/>
      <w:b/>
      <w:sz w:val="32"/>
    </w:rPr>
  </w:style>
  <w:style w:type="character" w:customStyle="1" w:styleId="NAEGAHeading1Char">
    <w:name w:val="NAEGA Heading 1 Char"/>
    <w:basedOn w:val="DefaultParagraphFont"/>
    <w:link w:val="NAEGAHeading1"/>
    <w:rsid w:val="00CD7342"/>
    <w:rPr>
      <w:rFonts w:ascii="Calisto MT" w:hAnsi="Calisto MT"/>
      <w:b/>
      <w:sz w:val="32"/>
    </w:rPr>
  </w:style>
  <w:style w:type="paragraph" w:styleId="NoSpacing">
    <w:name w:val="No Spacing"/>
    <w:uiPriority w:val="1"/>
    <w:qFormat/>
    <w:rsid w:val="00CD7342"/>
    <w:pPr>
      <w:spacing w:after="0" w:line="240" w:lineRule="auto"/>
    </w:pPr>
  </w:style>
  <w:style w:type="character" w:styleId="Hyperlink">
    <w:name w:val="Hyperlink"/>
    <w:basedOn w:val="DefaultParagraphFont"/>
    <w:uiPriority w:val="99"/>
    <w:unhideWhenUsed/>
    <w:rsid w:val="00C54BE7"/>
    <w:rPr>
      <w:color w:val="0563C1" w:themeColor="hyperlink"/>
      <w:u w:val="single"/>
    </w:rPr>
  </w:style>
  <w:style w:type="character" w:styleId="UnresolvedMention">
    <w:name w:val="Unresolved Mention"/>
    <w:basedOn w:val="DefaultParagraphFont"/>
    <w:uiPriority w:val="99"/>
    <w:semiHidden/>
    <w:unhideWhenUsed/>
    <w:rsid w:val="00C54B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530984">
      <w:bodyDiv w:val="1"/>
      <w:marLeft w:val="0"/>
      <w:marRight w:val="0"/>
      <w:marTop w:val="0"/>
      <w:marBottom w:val="0"/>
      <w:divBdr>
        <w:top w:val="none" w:sz="0" w:space="0" w:color="auto"/>
        <w:left w:val="none" w:sz="0" w:space="0" w:color="auto"/>
        <w:bottom w:val="none" w:sz="0" w:space="0" w:color="auto"/>
        <w:right w:val="none" w:sz="0" w:space="0" w:color="auto"/>
      </w:divBdr>
      <w:divsChild>
        <w:div w:id="1737043935">
          <w:marLeft w:val="0"/>
          <w:marRight w:val="0"/>
          <w:marTop w:val="0"/>
          <w:marBottom w:val="0"/>
          <w:divBdr>
            <w:top w:val="none" w:sz="0" w:space="0" w:color="auto"/>
            <w:left w:val="none" w:sz="0" w:space="0" w:color="auto"/>
            <w:bottom w:val="none" w:sz="0" w:space="0" w:color="auto"/>
            <w:right w:val="none" w:sz="0" w:space="0" w:color="auto"/>
          </w:divBdr>
        </w:div>
        <w:div w:id="219171140">
          <w:marLeft w:val="0"/>
          <w:marRight w:val="0"/>
          <w:marTop w:val="0"/>
          <w:marBottom w:val="0"/>
          <w:divBdr>
            <w:top w:val="none" w:sz="0" w:space="0" w:color="auto"/>
            <w:left w:val="none" w:sz="0" w:space="0" w:color="auto"/>
            <w:bottom w:val="none" w:sz="0" w:space="0" w:color="auto"/>
            <w:right w:val="none" w:sz="0" w:space="0" w:color="auto"/>
          </w:divBdr>
        </w:div>
        <w:div w:id="1710302577">
          <w:marLeft w:val="0"/>
          <w:marRight w:val="0"/>
          <w:marTop w:val="0"/>
          <w:marBottom w:val="0"/>
          <w:divBdr>
            <w:top w:val="none" w:sz="0" w:space="0" w:color="auto"/>
            <w:left w:val="none" w:sz="0" w:space="0" w:color="auto"/>
            <w:bottom w:val="none" w:sz="0" w:space="0" w:color="auto"/>
            <w:right w:val="none" w:sz="0" w:space="0" w:color="auto"/>
          </w:divBdr>
        </w:div>
        <w:div w:id="76757383">
          <w:marLeft w:val="0"/>
          <w:marRight w:val="0"/>
          <w:marTop w:val="0"/>
          <w:marBottom w:val="0"/>
          <w:divBdr>
            <w:top w:val="none" w:sz="0" w:space="0" w:color="auto"/>
            <w:left w:val="none" w:sz="0" w:space="0" w:color="auto"/>
            <w:bottom w:val="none" w:sz="0" w:space="0" w:color="auto"/>
            <w:right w:val="none" w:sz="0" w:space="0" w:color="auto"/>
          </w:divBdr>
        </w:div>
        <w:div w:id="425031402">
          <w:marLeft w:val="0"/>
          <w:marRight w:val="0"/>
          <w:marTop w:val="0"/>
          <w:marBottom w:val="0"/>
          <w:divBdr>
            <w:top w:val="none" w:sz="0" w:space="0" w:color="auto"/>
            <w:left w:val="none" w:sz="0" w:space="0" w:color="auto"/>
            <w:bottom w:val="none" w:sz="0" w:space="0" w:color="auto"/>
            <w:right w:val="none" w:sz="0" w:space="0" w:color="auto"/>
          </w:divBdr>
        </w:div>
        <w:div w:id="513497557">
          <w:marLeft w:val="0"/>
          <w:marRight w:val="0"/>
          <w:marTop w:val="0"/>
          <w:marBottom w:val="0"/>
          <w:divBdr>
            <w:top w:val="none" w:sz="0" w:space="0" w:color="auto"/>
            <w:left w:val="none" w:sz="0" w:space="0" w:color="auto"/>
            <w:bottom w:val="none" w:sz="0" w:space="0" w:color="auto"/>
            <w:right w:val="none" w:sz="0" w:space="0" w:color="auto"/>
          </w:divBdr>
        </w:div>
        <w:div w:id="1457673961">
          <w:marLeft w:val="0"/>
          <w:marRight w:val="0"/>
          <w:marTop w:val="0"/>
          <w:marBottom w:val="0"/>
          <w:divBdr>
            <w:top w:val="none" w:sz="0" w:space="0" w:color="auto"/>
            <w:left w:val="none" w:sz="0" w:space="0" w:color="auto"/>
            <w:bottom w:val="none" w:sz="0" w:space="0" w:color="auto"/>
            <w:right w:val="none" w:sz="0" w:space="0" w:color="auto"/>
          </w:divBdr>
        </w:div>
        <w:div w:id="1372263887">
          <w:marLeft w:val="0"/>
          <w:marRight w:val="0"/>
          <w:marTop w:val="0"/>
          <w:marBottom w:val="0"/>
          <w:divBdr>
            <w:top w:val="none" w:sz="0" w:space="0" w:color="auto"/>
            <w:left w:val="none" w:sz="0" w:space="0" w:color="auto"/>
            <w:bottom w:val="none" w:sz="0" w:space="0" w:color="auto"/>
            <w:right w:val="none" w:sz="0" w:space="0" w:color="auto"/>
          </w:divBdr>
        </w:div>
        <w:div w:id="992099127">
          <w:marLeft w:val="0"/>
          <w:marRight w:val="0"/>
          <w:marTop w:val="0"/>
          <w:marBottom w:val="0"/>
          <w:divBdr>
            <w:top w:val="none" w:sz="0" w:space="0" w:color="auto"/>
            <w:left w:val="none" w:sz="0" w:space="0" w:color="auto"/>
            <w:bottom w:val="none" w:sz="0" w:space="0" w:color="auto"/>
            <w:right w:val="none" w:sz="0" w:space="0" w:color="auto"/>
          </w:divBdr>
        </w:div>
        <w:div w:id="1227911100">
          <w:marLeft w:val="0"/>
          <w:marRight w:val="0"/>
          <w:marTop w:val="0"/>
          <w:marBottom w:val="0"/>
          <w:divBdr>
            <w:top w:val="none" w:sz="0" w:space="0" w:color="auto"/>
            <w:left w:val="none" w:sz="0" w:space="0" w:color="auto"/>
            <w:bottom w:val="none" w:sz="0" w:space="0" w:color="auto"/>
            <w:right w:val="none" w:sz="0" w:space="0" w:color="auto"/>
          </w:divBdr>
        </w:div>
        <w:div w:id="913390086">
          <w:marLeft w:val="0"/>
          <w:marRight w:val="0"/>
          <w:marTop w:val="0"/>
          <w:marBottom w:val="0"/>
          <w:divBdr>
            <w:top w:val="none" w:sz="0" w:space="0" w:color="auto"/>
            <w:left w:val="none" w:sz="0" w:space="0" w:color="auto"/>
            <w:bottom w:val="none" w:sz="0" w:space="0" w:color="auto"/>
            <w:right w:val="none" w:sz="0" w:space="0" w:color="auto"/>
          </w:divBdr>
        </w:div>
        <w:div w:id="48383395">
          <w:marLeft w:val="0"/>
          <w:marRight w:val="0"/>
          <w:marTop w:val="0"/>
          <w:marBottom w:val="0"/>
          <w:divBdr>
            <w:top w:val="none" w:sz="0" w:space="0" w:color="auto"/>
            <w:left w:val="none" w:sz="0" w:space="0" w:color="auto"/>
            <w:bottom w:val="none" w:sz="0" w:space="0" w:color="auto"/>
            <w:right w:val="none" w:sz="0" w:space="0" w:color="auto"/>
          </w:divBdr>
        </w:div>
        <w:div w:id="228656850">
          <w:marLeft w:val="0"/>
          <w:marRight w:val="0"/>
          <w:marTop w:val="0"/>
          <w:marBottom w:val="0"/>
          <w:divBdr>
            <w:top w:val="none" w:sz="0" w:space="0" w:color="auto"/>
            <w:left w:val="none" w:sz="0" w:space="0" w:color="auto"/>
            <w:bottom w:val="none" w:sz="0" w:space="0" w:color="auto"/>
            <w:right w:val="none" w:sz="0" w:space="0" w:color="auto"/>
          </w:divBdr>
        </w:div>
        <w:div w:id="1734812125">
          <w:marLeft w:val="0"/>
          <w:marRight w:val="0"/>
          <w:marTop w:val="0"/>
          <w:marBottom w:val="0"/>
          <w:divBdr>
            <w:top w:val="none" w:sz="0" w:space="0" w:color="auto"/>
            <w:left w:val="none" w:sz="0" w:space="0" w:color="auto"/>
            <w:bottom w:val="none" w:sz="0" w:space="0" w:color="auto"/>
            <w:right w:val="none" w:sz="0" w:space="0" w:color="auto"/>
          </w:divBdr>
          <w:divsChild>
            <w:div w:id="1898856692">
              <w:marLeft w:val="0"/>
              <w:marRight w:val="0"/>
              <w:marTop w:val="0"/>
              <w:marBottom w:val="0"/>
              <w:divBdr>
                <w:top w:val="none" w:sz="0" w:space="0" w:color="auto"/>
                <w:left w:val="none" w:sz="0" w:space="0" w:color="auto"/>
                <w:bottom w:val="none" w:sz="0" w:space="0" w:color="auto"/>
                <w:right w:val="none" w:sz="0" w:space="0" w:color="auto"/>
              </w:divBdr>
              <w:divsChild>
                <w:div w:id="580141140">
                  <w:marLeft w:val="0"/>
                  <w:marRight w:val="0"/>
                  <w:marTop w:val="0"/>
                  <w:marBottom w:val="0"/>
                  <w:divBdr>
                    <w:top w:val="none" w:sz="0" w:space="0" w:color="auto"/>
                    <w:left w:val="none" w:sz="0" w:space="0" w:color="auto"/>
                    <w:bottom w:val="none" w:sz="0" w:space="0" w:color="auto"/>
                    <w:right w:val="none" w:sz="0" w:space="0" w:color="auto"/>
                  </w:divBdr>
                  <w:divsChild>
                    <w:div w:id="10931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48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igtcglobal.org" TargetMode="External"/><Relationship Id="rId13" Type="http://schemas.openxmlformats.org/officeDocument/2006/relationships/image" Target="media/image2.jpeg"/><Relationship Id="rId18" Type="http://schemas.openxmlformats.org/officeDocument/2006/relationships/image" Target="media/image4.jpeg"/><Relationship Id="rId3" Type="http://schemas.openxmlformats.org/officeDocument/2006/relationships/webSettings" Target="webSettings.xml"/><Relationship Id="rId21" Type="http://schemas.openxmlformats.org/officeDocument/2006/relationships/hyperlink" Target="https://www.ippc.int/en/ephyto/" TargetMode="External"/><Relationship Id="rId7" Type="http://schemas.openxmlformats.org/officeDocument/2006/relationships/hyperlink" Target="mailto:secretariat@igtcglobal.org" TargetMode="External"/><Relationship Id="rId12" Type="http://schemas.openxmlformats.org/officeDocument/2006/relationships/hyperlink" Target="https://twitter.com/IGTCglobal" TargetMode="External"/><Relationship Id="rId17" Type="http://schemas.openxmlformats.org/officeDocument/2006/relationships/hyperlink" Target="http://ec.europa.eu/dgs/health_food-safety/events/20170928_modern_biotech.htm" TargetMode="External"/><Relationship Id="rId2" Type="http://schemas.openxmlformats.org/officeDocument/2006/relationships/settings" Target="settings.xml"/><Relationship Id="rId16" Type="http://schemas.openxmlformats.org/officeDocument/2006/relationships/hyperlink" Target="http://www.coceral.com/data/150652217717COMM19%20-%20Statement%20on%20Plant%20Breeding%20Innovation%20-%20The%20trade%20perspectives.pdf" TargetMode="External"/><Relationship Id="rId20" Type="http://schemas.openxmlformats.org/officeDocument/2006/relationships/hyperlink" Target="mailto:secretriat@igtcglobal.org" TargetMode="External"/><Relationship Id="rId1" Type="http://schemas.openxmlformats.org/officeDocument/2006/relationships/styles" Target="styles.xml"/><Relationship Id="rId6" Type="http://schemas.openxmlformats.org/officeDocument/2006/relationships/hyperlink" Target="http://graintradesummit.com/" TargetMode="External"/><Relationship Id="rId11" Type="http://schemas.openxmlformats.org/officeDocument/2006/relationships/hyperlink" Target="http://igtcglobal.org/index.php?id=41" TargetMode="External"/><Relationship Id="rId5" Type="http://schemas.openxmlformats.org/officeDocument/2006/relationships/hyperlink" Target="http://www.gmup.org/" TargetMode="External"/><Relationship Id="rId15" Type="http://schemas.openxmlformats.org/officeDocument/2006/relationships/hyperlink" Target="https://ec.europa.eu/research/sam/pdf/topics/explanatory_note_new_techniques_agricultural_biotechnology.pdf" TargetMode="External"/><Relationship Id="rId23" Type="http://schemas.openxmlformats.org/officeDocument/2006/relationships/theme" Target="theme/theme1.xml"/><Relationship Id="rId10" Type="http://schemas.openxmlformats.org/officeDocument/2006/relationships/hyperlink" Target="http://www.igtcglobal.org/" TargetMode="External"/><Relationship Id="rId19"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hyperlink" Target="http://events.r20.constantcontact.com/register/event?oeidk=a07eeecyhdz257ed7ff&amp;llr=uikvxteab"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Olson</dc:creator>
  <cp:keywords/>
  <dc:description/>
  <cp:lastModifiedBy>Ryan Olson</cp:lastModifiedBy>
  <cp:revision>1</cp:revision>
  <dcterms:created xsi:type="dcterms:W3CDTF">2017-10-03T15:59:00Z</dcterms:created>
  <dcterms:modified xsi:type="dcterms:W3CDTF">2017-10-03T16:00:00Z</dcterms:modified>
</cp:coreProperties>
</file>